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181F8B" w:rsidRDefault="00FC0292" w:rsidP="00B924BD">
      <w:pPr>
        <w:pStyle w:val="Titre1"/>
        <w:shd w:val="clear" w:color="auto" w:fill="C00000"/>
        <w:spacing w:line="360" w:lineRule="auto"/>
        <w:ind w:left="0"/>
        <w:jc w:val="center"/>
        <w:rPr>
          <w:rFonts w:ascii="Elior" w:hAnsi="Elior"/>
          <w:color w:val="2F2D2D"/>
          <w:w w:val="105"/>
          <w:sz w:val="32"/>
          <w:szCs w:val="32"/>
          <w:lang w:val="fr-FR"/>
        </w:rPr>
      </w:pPr>
      <w:r w:rsidRPr="006833AE">
        <w:rPr>
          <w:rFonts w:ascii="Elior" w:hAnsi="Elior"/>
          <w:color w:val="FFFFFF" w:themeColor="background1"/>
          <w:w w:val="105"/>
          <w:sz w:val="28"/>
          <w:szCs w:val="28"/>
          <w:lang w:val="fr-FR"/>
        </w:rPr>
        <w:t>II -</w:t>
      </w:r>
      <w:r w:rsidR="00D579D6" w:rsidRPr="006833AE">
        <w:rPr>
          <w:rFonts w:ascii="Elior" w:hAnsi="Elior"/>
          <w:color w:val="FFFFFF" w:themeColor="background1"/>
          <w:w w:val="105"/>
          <w:sz w:val="28"/>
          <w:szCs w:val="28"/>
          <w:lang w:val="fr-FR"/>
        </w:rPr>
        <w:t xml:space="preserve"> Formulaire sur les cadeaux et/ou invitations</w:t>
      </w:r>
      <w:r w:rsidR="00D579D6" w:rsidRPr="006833AE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 xml:space="preserve"> </w:t>
      </w:r>
      <w:r w:rsidR="00CD47A0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>donnés</w:t>
      </w:r>
    </w:p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86603F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  <w:bookmarkStart w:id="0" w:name="_GoBack"/>
        <w:bookmarkEnd w:id="0"/>
      </w:tr>
      <w:tr w:rsidR="00D579D6" w:rsidRPr="006833AE" w:rsidTr="0086603F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86603F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833AE" w:rsidTr="0086603F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6833AE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6833AE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6833AE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B54EE0" w:rsidRPr="00F5767A" w:rsidRDefault="00B54EE0" w:rsidP="00CD47A0">
      <w:pPr>
        <w:jc w:val="center"/>
        <w:rPr>
          <w:rFonts w:ascii="Elior" w:hAnsi="Elior"/>
          <w:sz w:val="19"/>
          <w:szCs w:val="19"/>
          <w:lang w:val="fr-FR"/>
        </w:rPr>
      </w:pPr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C8" w:rsidRDefault="001B15C8">
      <w:r>
        <w:separator/>
      </w:r>
    </w:p>
  </w:endnote>
  <w:endnote w:type="continuationSeparator" w:id="0">
    <w:p w:rsidR="001B15C8" w:rsidRDefault="001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48" w:rsidRDefault="00104C48" w:rsidP="00104C48"/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C8" w:rsidRDefault="001B15C8">
      <w:r>
        <w:separator/>
      </w:r>
    </w:p>
  </w:footnote>
  <w:footnote w:type="continuationSeparator" w:id="0">
    <w:p w:rsidR="001B15C8" w:rsidRDefault="001B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181F8B">
      <w:trPr>
        <w:trHeight w:val="284"/>
        <w:jc w:val="center"/>
      </w:trPr>
      <w:tc>
        <w:tcPr>
          <w:tcW w:w="5084" w:type="dxa"/>
          <w:shd w:val="clear" w:color="auto" w:fill="C00000"/>
          <w:vAlign w:val="center"/>
        </w:tcPr>
        <w:p w:rsidR="00104C48" w:rsidRPr="001161B1" w:rsidRDefault="00104C48" w:rsidP="00104C48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>gÉnÉrale Elior France</w:t>
          </w:r>
        </w:p>
      </w:tc>
      <w:tc>
        <w:tcPr>
          <w:tcW w:w="4839" w:type="dxa"/>
          <w:shd w:val="clear" w:color="auto" w:fill="C00000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23F4A"/>
    <w:rsid w:val="00047B98"/>
    <w:rsid w:val="00076147"/>
    <w:rsid w:val="000859FB"/>
    <w:rsid w:val="000864FC"/>
    <w:rsid w:val="000B7572"/>
    <w:rsid w:val="000C2FFC"/>
    <w:rsid w:val="00104C48"/>
    <w:rsid w:val="00111A61"/>
    <w:rsid w:val="00121241"/>
    <w:rsid w:val="00160F05"/>
    <w:rsid w:val="00181F8B"/>
    <w:rsid w:val="00190AE9"/>
    <w:rsid w:val="001B15C8"/>
    <w:rsid w:val="001B255A"/>
    <w:rsid w:val="001E4B6F"/>
    <w:rsid w:val="00207BA9"/>
    <w:rsid w:val="002714F1"/>
    <w:rsid w:val="00273E3C"/>
    <w:rsid w:val="002824B1"/>
    <w:rsid w:val="002870B8"/>
    <w:rsid w:val="0029080C"/>
    <w:rsid w:val="002E570C"/>
    <w:rsid w:val="003057E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5C8A"/>
    <w:rsid w:val="00626D6A"/>
    <w:rsid w:val="00631773"/>
    <w:rsid w:val="00635A21"/>
    <w:rsid w:val="0068234F"/>
    <w:rsid w:val="006833AE"/>
    <w:rsid w:val="00683A33"/>
    <w:rsid w:val="006A2A64"/>
    <w:rsid w:val="006D11E0"/>
    <w:rsid w:val="006F5E87"/>
    <w:rsid w:val="007116D1"/>
    <w:rsid w:val="00720719"/>
    <w:rsid w:val="00732F41"/>
    <w:rsid w:val="007427E6"/>
    <w:rsid w:val="007666F9"/>
    <w:rsid w:val="007666FA"/>
    <w:rsid w:val="00773A2D"/>
    <w:rsid w:val="00812B19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1481C"/>
    <w:rsid w:val="00A52192"/>
    <w:rsid w:val="00AC1557"/>
    <w:rsid w:val="00AF5934"/>
    <w:rsid w:val="00AF7618"/>
    <w:rsid w:val="00B502C9"/>
    <w:rsid w:val="00B54EE0"/>
    <w:rsid w:val="00B623C8"/>
    <w:rsid w:val="00B634BC"/>
    <w:rsid w:val="00B924BD"/>
    <w:rsid w:val="00C0219A"/>
    <w:rsid w:val="00C05FF3"/>
    <w:rsid w:val="00C1086D"/>
    <w:rsid w:val="00C1230E"/>
    <w:rsid w:val="00C44292"/>
    <w:rsid w:val="00C460DA"/>
    <w:rsid w:val="00CC53F5"/>
    <w:rsid w:val="00CD47A0"/>
    <w:rsid w:val="00CE0D34"/>
    <w:rsid w:val="00D44812"/>
    <w:rsid w:val="00D579D6"/>
    <w:rsid w:val="00D73D40"/>
    <w:rsid w:val="00D83FBF"/>
    <w:rsid w:val="00D93EFC"/>
    <w:rsid w:val="00D95152"/>
    <w:rsid w:val="00DC65F1"/>
    <w:rsid w:val="00DE3E5C"/>
    <w:rsid w:val="00DF526C"/>
    <w:rsid w:val="00DF5D10"/>
    <w:rsid w:val="00E00A61"/>
    <w:rsid w:val="00E03542"/>
    <w:rsid w:val="00E104F9"/>
    <w:rsid w:val="00E27085"/>
    <w:rsid w:val="00EA7AEE"/>
    <w:rsid w:val="00EB053B"/>
    <w:rsid w:val="00EB51CD"/>
    <w:rsid w:val="00EF0D1E"/>
    <w:rsid w:val="00EF343E"/>
    <w:rsid w:val="00F15C93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4</cp:revision>
  <cp:lastPrinted>2020-01-09T17:12:00Z</cp:lastPrinted>
  <dcterms:created xsi:type="dcterms:W3CDTF">2020-01-09T17:30:00Z</dcterms:created>
  <dcterms:modified xsi:type="dcterms:W3CDTF">2020-01-10T10:45:00Z</dcterms:modified>
</cp:coreProperties>
</file>